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-12700</wp:posOffset>
                </wp:positionV>
                <wp:extent cx="5114925" cy="990600"/>
                <wp:effectExtent l="635" t="635" r="29845" b="10795"/>
                <wp:wrapSquare wrapText="bothSides"/>
                <wp:docPr id="1026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3"/>
                      <wps:cNvSpPr txBox="1"/>
                      <wps:spPr>
                        <a:xfrm>
                          <a:off x="0" y="0"/>
                          <a:ext cx="5114925" cy="990600"/>
                        </a:xfrm>
                        <a:prstGeom prst="rect">
                          <a:avLst/>
                        </a:prstGeom>
                        <a:ln>
                          <a:beve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E6B8B7" w:themeColor="accent2" w:themeTint="66"/>
                                <w:sz w:val="52"/>
                                <w14:textOutline w14:w="508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E6B8B7" w:themeColor="accent2" w:themeTint="66"/>
                                <w:sz w:val="52"/>
                                <w14:textOutline w14:w="254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生ごみ処理器はんのう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E6B8B7" w:themeColor="accent2" w:themeTint="66"/>
                                <w:sz w:val="52"/>
                                <w14:textOutline w14:w="254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キエー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E6B8B7" w:themeColor="accent2" w:themeTint="66"/>
                                <w:sz w:val="52"/>
                                <w14:textOutline w14:w="254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ロ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E6B8B7" w:themeColor="accent2" w:themeTint="66"/>
                                <w:sz w:val="52"/>
                                <w14:textOutline w14:w="254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製作販売登録事業者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E6B8B7" w:themeColor="accent2" w:themeTint="66"/>
                                <w:sz w:val="52"/>
                                <w14:textOutline w14:w="25400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-1pt;mso-position-vertical-relative:text;mso-position-horizontal-relative:text;v-text-anchor:top;position:absolute;mso-wrap-mode:square;height:78pt;mso-wrap-distance-top:0pt;width:402.75pt;mso-wrap-distance-left:9pt;margin-left:11.7pt;z-index:2;" o:spid="_x0000_s1026" o:allowincell="t" o:allowoverlap="t" filled="t" fillcolor="#ffffff [3201]" stroked="t" strokecolor="#c0504d [3205]" strokeweight="2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E6B8B7" w:themeColor="accent2" w:themeTint="66"/>
                          <w:sz w:val="52"/>
                          <w14:textOutline w14:w="508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E6B8B7" w:themeColor="accent2" w:themeTint="66"/>
                          <w:sz w:val="52"/>
                          <w14:textOutline w14:w="254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生ごみ処理器はんのう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E6B8B7" w:themeColor="accent2" w:themeTint="66"/>
                          <w:sz w:val="52"/>
                          <w14:textOutline w14:w="254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キエー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E6B8B7" w:themeColor="accent2" w:themeTint="66"/>
                          <w:sz w:val="52"/>
                          <w14:textOutline w14:w="254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ロ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E6B8B7" w:themeColor="accent2" w:themeTint="66"/>
                          <w:sz w:val="52"/>
                          <w14:textOutline w14:w="254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製作販売登録事業者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E6B8B7" w:themeColor="accent2" w:themeTint="66"/>
                          <w:sz w:val="52"/>
                          <w14:textOutline w14:w="25400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MAP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13335</wp:posOffset>
                </wp:positionV>
                <wp:extent cx="6000750" cy="37814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00075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5883910" cy="3688080"/>
                                  <wp:effectExtent l="0" t="0" r="0" b="0"/>
                                  <wp:docPr id="1028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3910" cy="3688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05pt;mso-position-vertical-relative:text;mso-position-horizontal-relative:text;position:absolute;height:297.75pt;mso-wrap-distance-top:0pt;width:472.5pt;mso-wrap-distance-left:5.65pt;margin-left:-12.3pt;z-index:5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5883910" cy="3688080"/>
                            <wp:effectExtent l="0" t="0" r="0" b="0"/>
                            <wp:docPr id="1028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3910" cy="3688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7886700</wp:posOffset>
                </wp:positionV>
                <wp:extent cx="542925" cy="304800"/>
                <wp:effectExtent l="635" t="635" r="29845" b="10795"/>
                <wp:wrapNone/>
                <wp:docPr id="1029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3"/>
                      <wps:cNvSpPr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default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>
                              <w:rPr>
                                <w:rFonts w:hint="default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621pt;mso-position-vertical-relative:text;mso-position-horizontal-relative:text;v-text-anchor:middle;position:absolute;height:24pt;mso-wrap-distance-top:0pt;width:42.75pt;mso-wrap-distance-left:9pt;margin-left:203.65pt;z-index:4;" o:spid="_x0000_s1029" o:allowincell="t" o:allowoverlap="t" filled="f" stroked="t" strokecolor="#ffffff [3212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default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  <w:r>
                        <w:rPr>
                          <w:rFonts w:hint="default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  <w:r>
                        <w:rPr>
                          <w:rFonts w:hint="default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1206500</wp:posOffset>
                </wp:positionV>
                <wp:extent cx="1657350" cy="981075"/>
                <wp:effectExtent l="635" t="635" r="29845" b="586740"/>
                <wp:wrapNone/>
                <wp:docPr id="1030" name="線吹き出し 2 (枠付き)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線吹き出し 2 (枠付き) 2"/>
                      <wps:cNvSpPr/>
                      <wps:spPr>
                        <a:xfrm>
                          <a:off x="0" y="0"/>
                          <a:ext cx="1657350" cy="981075"/>
                        </a:xfrm>
                        <a:prstGeom prst="borderCallout2">
                          <a:avLst>
                            <a:gd name="adj1" fmla="val 101129"/>
                            <a:gd name="adj2" fmla="val 49137"/>
                            <a:gd name="adj3" fmla="val 133560"/>
                            <a:gd name="adj4" fmla="val 56074"/>
                            <a:gd name="adj5" fmla="val 158674"/>
                            <a:gd name="adj6" fmla="val 71797"/>
                          </a:avLst>
                        </a:prstGeom>
                        <a:noFill/>
                        <a:ln w="19050" cap="rnd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飯能市シルバー人材センター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飯能市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大河原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62-2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973-6566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営業時間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定休日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　　土曜日・日曜日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祝日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18"/>
                              </w:rPr>
                              <w:t>・年末年始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style="mso-wrap-distance-right:9pt;mso-wrap-distance-bottom:0pt;margin-top:95pt;mso-position-vertical-relative:text;mso-position-horizontal-relative:text;v-text-anchor:top;position:absolute;height:77.25pt;mso-wrap-distance-top:0pt;width:130.5pt;mso-wrap-distance-left:9pt;margin-left:121.2pt;z-index:7;" o:spid="_x0000_s1030" o:allowincell="t" o:allowoverlap="t" filled="f" stroked="t" strokecolor="#ff0000" strokeweight="1.5pt" o:spt="48" type="#_x0000_t48" adj="15508,34274,12112,28849,10614,21844">
                <v:fill/>
                <v:stroke linestyle="single" endcap="round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飯能市シルバー人材センター</w:t>
                      </w: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</w:pP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飯能市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大河原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62-2</w:t>
                      </w: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973-6566</w:t>
                      </w: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営業時間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8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30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17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00</w:t>
                      </w: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定休日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　　土曜日・日曜日</w:t>
                      </w:r>
                    </w:p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祝日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18"/>
                        </w:rPr>
                        <w:t>・年末年始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802"/>
        </w:tabs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211455</wp:posOffset>
                </wp:positionV>
                <wp:extent cx="1524000" cy="14382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5240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369060" cy="1369060"/>
                                  <wp:effectExtent l="0" t="0" r="0" b="0"/>
                                  <wp:docPr id="1032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060" cy="1369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6.64pt;mso-position-vertical-relative:text;mso-position-horizontal-relative:text;position:absolute;height:113.25pt;mso-wrap-distance-top:0pt;width:120pt;mso-wrap-distance-left:5.65pt;margin-left:325.85000000000002pt;z-index:9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369060" cy="1369060"/>
                            <wp:effectExtent l="0" t="0" r="0" b="0"/>
                            <wp:docPr id="1032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9060" cy="1369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tabs>
          <w:tab w:val="left" w:leader="none" w:pos="802"/>
        </w:tabs>
        <w:rPr>
          <w:rFonts w:hint="default"/>
        </w:rPr>
      </w:pPr>
    </w:p>
    <w:p>
      <w:pPr>
        <w:pStyle w:val="0"/>
        <w:tabs>
          <w:tab w:val="left" w:leader="none" w:pos="802"/>
        </w:tabs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★はんのうキエーロの補助交付のための書類は</w:t>
      </w:r>
    </w:p>
    <w:p>
      <w:pPr>
        <w:pStyle w:val="0"/>
        <w:tabs>
          <w:tab w:val="left" w:leader="none" w:pos="802"/>
        </w:tabs>
        <w:ind w:firstLine="210" w:firstLineChars="10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1587500</wp:posOffset>
                </wp:positionV>
                <wp:extent cx="504825" cy="352425"/>
                <wp:effectExtent l="0" t="0" r="635" b="635"/>
                <wp:wrapNone/>
                <wp:docPr id="1033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9"/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８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-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125pt;mso-position-vertical-relative:text;mso-position-horizontal-relative:text;v-text-anchor:middle;position:absolute;height:27.75pt;mso-wrap-distance-top:0pt;width:39.75pt;mso-wrap-distance-left:9pt;margin-left:198.4pt;z-index:6;" o:spid="_x0000_s1033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</w:rPr>
                        <w:t>-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８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-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1135380</wp:posOffset>
                </wp:positionV>
                <wp:extent cx="5648325" cy="40957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648325" cy="409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この紙は「雑がみ」で資源になります。分別にご協力ください。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89.4pt;mso-position-vertical-relative:text;mso-position-horizontal-relative:text;v-text-anchor:middle;position:absolute;height:32.25pt;mso-wrap-distance-top:0pt;width:444.75pt;mso-wrap-distance-left:5.65pt;margin-left:1.1000000000000001pt;z-index:10;" o:spid="_x0000_s1034" o:allowincell="t" o:allowoverlap="t" filled="t" fillcolor="#dce6f1 [660]" stroked="t" strokecolor="#385d8a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この紙は「雑がみ」で資源になります。分別にご協力ください。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AR P丸ゴシック体E" w:hAnsi="AR P丸ゴシック体E" w:eastAsia="AR P丸ゴシック体E"/>
          <w:sz w:val="28"/>
        </w:rPr>
        <w:t>飯能市のホームページからダウンロードできます。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452</TotalTime>
  <Pages>1</Pages>
  <Words>11</Words>
  <Characters>168</Characters>
  <Application>JUST Note</Application>
  <Lines>38</Lines>
  <Paragraphs>13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飯能市</dc:creator>
  <cp:lastModifiedBy>HC01059</cp:lastModifiedBy>
  <cp:lastPrinted>2023-09-13T05:54:30Z</cp:lastPrinted>
  <dcterms:created xsi:type="dcterms:W3CDTF">2017-04-21T05:58:00Z</dcterms:created>
  <dcterms:modified xsi:type="dcterms:W3CDTF">2023-09-13T05:55:25Z</dcterms:modified>
  <cp:revision>36</cp:revision>
</cp:coreProperties>
</file>