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overflowPunct w:val="0"/>
        <w:autoSpaceDE w:val="0"/>
        <w:autoSpaceDN w:val="0"/>
        <w:rPr>
          <w:rFonts w:hint="default"/>
        </w:rPr>
      </w:pPr>
      <w:bookmarkStart w:id="0" w:name="_GoBack"/>
      <w:bookmarkEnd w:id="0"/>
    </w:p>
    <w:p>
      <w:pPr>
        <w:pStyle w:val="0"/>
        <w:overflowPunct w:val="0"/>
        <w:autoSpaceDE w:val="0"/>
        <w:autoSpaceDN w:val="0"/>
        <w:ind w:left="729" w:hanging="729" w:hangingChars="300"/>
        <w:rPr>
          <w:rFonts w:hint="default"/>
        </w:rPr>
      </w:pPr>
    </w:p>
    <w:p>
      <w:pPr>
        <w:pStyle w:val="0"/>
        <w:overflowPunct w:val="0"/>
        <w:autoSpaceDE w:val="0"/>
        <w:autoSpaceDN w:val="0"/>
        <w:ind w:left="729" w:hanging="729" w:hangingChars="300"/>
        <w:rPr>
          <w:rFonts w:hint="default"/>
        </w:rPr>
      </w:pPr>
      <w:r>
        <w:rPr>
          <w:rFonts w:hint="eastAsia"/>
        </w:rPr>
        <w:t>　　　</w:t>
      </w:r>
      <w:r>
        <w:rPr>
          <w:rFonts w:hint="eastAsia"/>
          <w:color w:val="000000"/>
        </w:rPr>
        <w:t>飯能市手話言語の普及及び障害の特性に応じた多様な意思疎通手段の利用の促進に関する条例</w:t>
      </w:r>
    </w:p>
    <w:p>
      <w:pPr>
        <w:pStyle w:val="0"/>
        <w:overflowPunct w:val="0"/>
        <w:autoSpaceDE w:val="0"/>
        <w:autoSpaceDN w:val="0"/>
        <w:ind w:left="729" w:hanging="729" w:hangingChars="300"/>
        <w:rPr>
          <w:rFonts w:hint="default"/>
        </w:rPr>
      </w:pPr>
    </w:p>
    <w:p>
      <w:pPr>
        <w:pStyle w:val="0"/>
        <w:overflowPunct w:val="0"/>
        <w:autoSpaceDE w:val="0"/>
        <w:autoSpaceDN w:val="0"/>
        <w:ind w:firstLineChars="0"/>
        <w:rPr>
          <w:rFonts w:hint="default"/>
          <w:strike w:val="0"/>
          <w:dstrike w:val="1"/>
          <w:highlight w:val="none"/>
        </w:rPr>
      </w:pPr>
      <w:r>
        <w:rPr>
          <w:rFonts w:hint="eastAsia"/>
        </w:rPr>
        <w:t>　手話は、音声言語とは異なり、手指や体の動き、表情を使い視覚的に表現する言語である。手話を必要とする人たちは、物事を考え、感情を表し、意思を伝え、互いの気持ちを理解し合うために必要な言語として、手話を大切に育んできた。しかし、長い間、手話が言語であることの理解は広まってこなかった。</w:t>
      </w:r>
    </w:p>
    <w:p>
      <w:pPr>
        <w:pStyle w:val="0"/>
        <w:overflowPunct w:val="0"/>
        <w:autoSpaceDE w:val="0"/>
        <w:autoSpaceDN w:val="0"/>
        <w:ind w:firstLine="243" w:firstLineChars="100"/>
        <w:rPr>
          <w:rFonts w:hint="default"/>
        </w:rPr>
      </w:pPr>
      <w:r>
        <w:rPr>
          <w:rFonts w:hint="eastAsia" w:ascii="ＭＳ 明朝" w:hAnsi="ＭＳ 明朝" w:eastAsia="ＭＳ 明朝"/>
          <w:highlight w:val="none"/>
        </w:rPr>
        <w:t>また、手話を含む障害の特性に応じた多様な意思疎通手段を</w:t>
      </w:r>
      <w:r>
        <w:rPr>
          <w:rFonts w:hint="eastAsia"/>
          <w:highlight w:val="none"/>
        </w:rPr>
        <w:t>選ぶことができないことで</w:t>
      </w:r>
      <w:r>
        <w:rPr>
          <w:rFonts w:hint="eastAsia" w:ascii="ＭＳ 明朝" w:hAnsi="ＭＳ 明朝" w:eastAsia="ＭＳ 明朝"/>
          <w:highlight w:val="none"/>
        </w:rPr>
        <w:t>、手話を必要とする人その他の障害者は、日常生活又は社会生活において相当な制限を受け、災害その他非常の事態においても情報の取得が困難な状況に置かれている。</w:t>
      </w:r>
    </w:p>
    <w:p>
      <w:pPr>
        <w:pStyle w:val="0"/>
        <w:overflowPunct w:val="0"/>
        <w:autoSpaceDE w:val="0"/>
        <w:autoSpaceDN w:val="0"/>
        <w:ind w:firstLine="243" w:firstLineChars="100"/>
        <w:rPr>
          <w:rFonts w:hint="default"/>
        </w:rPr>
      </w:pPr>
      <w:r>
        <w:rPr>
          <w:rFonts w:hint="eastAsia"/>
        </w:rPr>
        <w:t>障害者基本法は、「全て障害者は、可能な限り、言語（手話を含む。）その他の意思疎通のための手段についての選択の機会が確保されるとともに、情報の取得又は利用のための手段についての選択の機会の拡大が図られること」を旨として、全ての国民が、障害の有無によって分け隔てられることなく、相互に人格と個性を尊重し合いながら共生する社会の実現を図ることとしている。</w:t>
      </w:r>
    </w:p>
    <w:p>
      <w:pPr>
        <w:pStyle w:val="0"/>
        <w:overflowPunct w:val="0"/>
        <w:autoSpaceDE w:val="0"/>
        <w:autoSpaceDN w:val="0"/>
        <w:rPr>
          <w:rFonts w:hint="default"/>
        </w:rPr>
      </w:pPr>
      <w:r>
        <w:rPr>
          <w:rFonts w:hint="eastAsia"/>
        </w:rPr>
        <w:t>　こうした背景から、私たちは、</w:t>
      </w:r>
      <w:r>
        <w:rPr>
          <w:rFonts w:hint="eastAsia"/>
          <w:highlight w:val="none"/>
        </w:rPr>
        <w:t>手話が言語であることの普及</w:t>
      </w:r>
      <w:r>
        <w:rPr>
          <w:rFonts w:hint="eastAsia"/>
        </w:rPr>
        <w:t>に努めるとともに、</w:t>
      </w:r>
      <w:r>
        <w:rPr>
          <w:rFonts w:hint="eastAsia"/>
          <w:highlight w:val="none"/>
        </w:rPr>
        <w:t>障害者に</w:t>
      </w:r>
      <w:r>
        <w:rPr>
          <w:rFonts w:hint="eastAsia"/>
        </w:rPr>
        <w:t>とって障害の特性に応じた多様な意思疎通手段が必要であることを正しく理解し、当該意思疎通手段が利用しやすいものとなるように環境を整えていく必要がある。</w:t>
      </w:r>
    </w:p>
    <w:p>
      <w:pPr>
        <w:pStyle w:val="0"/>
        <w:overflowPunct w:val="0"/>
        <w:autoSpaceDE w:val="0"/>
        <w:autoSpaceDN w:val="0"/>
        <w:rPr>
          <w:rFonts w:hint="default"/>
        </w:rPr>
      </w:pPr>
      <w:r>
        <w:rPr>
          <w:rFonts w:hint="eastAsia"/>
        </w:rPr>
        <w:t>　私たちは、障害があっても何ら不自由なく自らの意思を相手に伝え、相互に意思疎通を図ることができる環境づくりを推進し、障害の有無にかかわらず誰もが安心して生活できる地域共生社会を実現するため、この条例を制定する。</w:t>
      </w:r>
    </w:p>
    <w:p>
      <w:pPr>
        <w:pStyle w:val="0"/>
        <w:overflowPunct w:val="0"/>
        <w:autoSpaceDE w:val="0"/>
        <w:autoSpaceDN w:val="0"/>
        <w:rPr>
          <w:rFonts w:hint="default"/>
        </w:rPr>
      </w:pPr>
      <w:r>
        <w:rPr>
          <w:rFonts w:hint="eastAsia"/>
        </w:rPr>
        <w:t>　（目的）</w:t>
      </w:r>
    </w:p>
    <w:p>
      <w:pPr>
        <w:pStyle w:val="0"/>
        <w:ind w:left="243" w:hanging="243" w:hangingChars="100"/>
        <w:rPr>
          <w:rFonts w:hint="default"/>
        </w:rPr>
      </w:pPr>
      <w:r>
        <w:rPr>
          <w:rFonts w:hint="eastAsia"/>
        </w:rPr>
        <w:t>第１条　この条例は、手話言語の普及及び障害の特性に応じた多様な意思疎通手段の利用の促進に関</w:t>
      </w:r>
      <w:r>
        <w:rPr>
          <w:rFonts w:hint="eastAsia"/>
          <w:highlight w:val="none"/>
        </w:rPr>
        <w:t>し、</w:t>
      </w:r>
      <w:r>
        <w:rPr>
          <w:rFonts w:hint="eastAsia"/>
        </w:rPr>
        <w:t>基本理念を定め、並びに市の責務並びに市民及び事業者の役割を明らかにするとともに、市の推進する施策を定めることにより、</w:t>
      </w:r>
      <w:r>
        <w:rPr>
          <w:rFonts w:hint="eastAsia"/>
          <w:u w:val="none" w:color="auto"/>
        </w:rPr>
        <w:t>障害の有無にかかわらず誰もが安心して生活できる地域共生社会</w:t>
      </w:r>
      <w:r>
        <w:rPr>
          <w:rFonts w:hint="eastAsia"/>
        </w:rPr>
        <w:t>の実現に寄与することを目的とする。</w:t>
      </w:r>
    </w:p>
    <w:p>
      <w:pPr>
        <w:pStyle w:val="0"/>
        <w:ind w:left="243" w:leftChars="100"/>
        <w:rPr>
          <w:rFonts w:hint="default"/>
        </w:rPr>
      </w:pPr>
      <w:r>
        <w:rPr>
          <w:rFonts w:hint="eastAsia"/>
        </w:rPr>
        <w:t>（用語の意義）</w:t>
      </w:r>
    </w:p>
    <w:p>
      <w:pPr>
        <w:pStyle w:val="0"/>
        <w:overflowPunct w:val="0"/>
        <w:autoSpaceDE w:val="0"/>
        <w:autoSpaceDN w:val="0"/>
        <w:ind w:left="243" w:hanging="243" w:hangingChars="100"/>
        <w:rPr>
          <w:rFonts w:hint="default"/>
        </w:rPr>
      </w:pPr>
      <w:r>
        <w:rPr>
          <w:rFonts w:hint="eastAsia"/>
        </w:rPr>
        <w:t>第２条　この条例において、次の各号に掲げる用語の意義は、当該各号に定めるところによる。</w:t>
      </w:r>
    </w:p>
    <w:p>
      <w:pPr>
        <w:pStyle w:val="0"/>
        <w:overflowPunct w:val="0"/>
        <w:autoSpaceDE w:val="0"/>
        <w:autoSpaceDN w:val="0"/>
        <w:ind w:left="486" w:hanging="486" w:hangingChars="200"/>
        <w:rPr>
          <w:rFonts w:hint="eastAsia" w:ascii="ＭＳ 明朝" w:hAnsi="ＭＳ 明朝" w:eastAsia="ＭＳ 明朝"/>
        </w:rPr>
      </w:pPr>
      <w:r>
        <w:rPr>
          <w:rFonts w:hint="eastAsia" w:ascii="ＭＳ 明朝" w:hAnsi="ＭＳ 明朝" w:eastAsia="ＭＳ 明朝"/>
        </w:rPr>
        <w:t>　⑴　障害者　身体障害、知的障害、精神障害（発達障害を含む。）その他の心身の機能の障害（以下「障害」という。）がある者であって、障害及び社会的障壁（障害がある者にとって日常生活又は社会生活を営む上で障壁となるような社会における事物、制度、慣行、観念その他一切のものをいう。）により継続的に日常生活又は社会生活に相当な制限を受ける状態にあるものをいう。</w:t>
      </w:r>
    </w:p>
    <w:p>
      <w:pPr>
        <w:pStyle w:val="0"/>
        <w:overflowPunct w:val="0"/>
        <w:autoSpaceDE w:val="0"/>
        <w:autoSpaceDN w:val="0"/>
        <w:ind w:left="486" w:hanging="486" w:hangingChars="200"/>
        <w:rPr>
          <w:rFonts w:hint="default"/>
        </w:rPr>
      </w:pPr>
      <w:r>
        <w:rPr>
          <w:rFonts w:hint="eastAsia"/>
        </w:rPr>
        <w:t>　⑵　意思疎通手段　</w:t>
      </w:r>
      <w:r>
        <w:rPr>
          <w:rFonts w:hint="eastAsia"/>
          <w:color w:val="000000"/>
        </w:rPr>
        <w:t>手話、音訳、要約筆記、筆談、点字、触手話、拡大文字、情報通信機器、平易な表現その他</w:t>
      </w:r>
      <w:r>
        <w:rPr>
          <w:rFonts w:hint="eastAsia"/>
          <w:color w:val="000000"/>
          <w:highlight w:val="none"/>
        </w:rPr>
        <w:t>情報を取得し、及び利用し、並びに</w:t>
      </w:r>
      <w:r>
        <w:rPr>
          <w:rFonts w:hint="eastAsia"/>
          <w:color w:val="000000"/>
        </w:rPr>
        <w:t>意思疎通を図るための手段をいう。</w:t>
      </w:r>
    </w:p>
    <w:p>
      <w:pPr>
        <w:pStyle w:val="0"/>
        <w:overflowPunct w:val="0"/>
        <w:autoSpaceDE w:val="0"/>
        <w:autoSpaceDN w:val="0"/>
        <w:ind w:left="486" w:hanging="486" w:hangingChars="200"/>
        <w:rPr>
          <w:rFonts w:hint="default"/>
        </w:rPr>
      </w:pPr>
      <w:r>
        <w:rPr>
          <w:rFonts w:hint="eastAsia"/>
        </w:rPr>
        <w:t>　⑶　市民　市内に居住し、又は勤務し、若しくは通学する者をいう。</w:t>
      </w:r>
    </w:p>
    <w:p>
      <w:pPr>
        <w:pStyle w:val="0"/>
        <w:overflowPunct w:val="0"/>
        <w:autoSpaceDE w:val="0"/>
        <w:autoSpaceDN w:val="0"/>
        <w:ind w:left="486" w:hanging="486" w:hangingChars="200"/>
        <w:rPr>
          <w:rFonts w:hint="default"/>
        </w:rPr>
      </w:pPr>
      <w:r>
        <w:rPr>
          <w:rFonts w:hint="eastAsia"/>
        </w:rPr>
        <w:t>　⑷　事業者　市内において事業活動を行う個人又は法人その他の団体をいう。</w:t>
      </w:r>
    </w:p>
    <w:p>
      <w:pPr>
        <w:pStyle w:val="0"/>
        <w:overflowPunct w:val="0"/>
        <w:autoSpaceDE w:val="0"/>
        <w:autoSpaceDN w:val="0"/>
        <w:rPr>
          <w:rFonts w:hint="default"/>
        </w:rPr>
      </w:pPr>
      <w:r>
        <w:rPr>
          <w:rFonts w:hint="eastAsia"/>
        </w:rPr>
        <w:t>　（基本理念）</w:t>
      </w:r>
    </w:p>
    <w:p>
      <w:pPr>
        <w:pStyle w:val="0"/>
        <w:overflowPunct w:val="0"/>
        <w:autoSpaceDE w:val="0"/>
        <w:autoSpaceDN w:val="0"/>
        <w:ind w:left="243" w:hanging="243" w:hangingChars="100"/>
        <w:rPr>
          <w:rFonts w:hint="default"/>
        </w:rPr>
      </w:pPr>
      <w:r>
        <w:rPr>
          <w:rFonts w:hint="eastAsia"/>
        </w:rPr>
        <w:t>第３条　手話言語の普及及び障害の特性に応じた多様な意思疎通手段の利用の促進は、全ての市民が障害の有無によって分け隔てられることなく、相互に人格と個性を尊重し合うことが重要であるとの認識の下に行われなければならない。</w:t>
      </w:r>
    </w:p>
    <w:p>
      <w:pPr>
        <w:pStyle w:val="0"/>
        <w:overflowPunct w:val="0"/>
        <w:autoSpaceDE w:val="0"/>
        <w:autoSpaceDN w:val="0"/>
        <w:ind w:left="243" w:hanging="243" w:hangingChars="100"/>
        <w:rPr>
          <w:rFonts w:hint="default"/>
        </w:rPr>
      </w:pPr>
      <w:r>
        <w:rPr>
          <w:rFonts w:hint="eastAsia"/>
        </w:rPr>
        <w:t>２　手話言語の普及は、手話</w:t>
      </w:r>
      <w:r>
        <w:rPr>
          <w:rFonts w:hint="eastAsia"/>
          <w:highlight w:val="none"/>
        </w:rPr>
        <w:t>が</w:t>
      </w:r>
      <w:r>
        <w:rPr>
          <w:rFonts w:hint="eastAsia"/>
        </w:rPr>
        <w:t>独自の言語体系を有する文化的所産であるという認識の下に行われなければならない。</w:t>
      </w:r>
    </w:p>
    <w:p>
      <w:pPr>
        <w:pStyle w:val="0"/>
        <w:overflowPunct w:val="0"/>
        <w:autoSpaceDE w:val="0"/>
        <w:autoSpaceDN w:val="0"/>
        <w:ind w:left="243" w:hanging="243" w:hangingChars="100"/>
        <w:rPr>
          <w:rFonts w:hint="default"/>
        </w:rPr>
      </w:pPr>
      <w:r>
        <w:rPr>
          <w:rFonts w:hint="eastAsia"/>
        </w:rPr>
        <w:t>３　障害の特性に応じた多様な意思疎通手段の利用の促進は、障害者が障害の特性に応じた多様な意思疎通手段を選択する機会が確保されることを基本として行われなければならない。</w:t>
      </w:r>
    </w:p>
    <w:p>
      <w:pPr>
        <w:pStyle w:val="0"/>
        <w:overflowPunct w:val="0"/>
        <w:autoSpaceDE w:val="0"/>
        <w:autoSpaceDN w:val="0"/>
        <w:ind w:left="243" w:hanging="243" w:hangingChars="100"/>
        <w:rPr>
          <w:rFonts w:hint="default"/>
          <w:highlight w:val="yellow"/>
        </w:rPr>
      </w:pPr>
      <w:r>
        <w:rPr>
          <w:rFonts w:hint="eastAsia"/>
          <w:highlight w:val="none"/>
        </w:rPr>
        <w:t>　（市の責務）</w:t>
      </w:r>
    </w:p>
    <w:p>
      <w:pPr>
        <w:pStyle w:val="0"/>
        <w:overflowPunct w:val="0"/>
        <w:autoSpaceDE w:val="0"/>
        <w:autoSpaceDN w:val="0"/>
        <w:ind w:left="243" w:hanging="243" w:hangingChars="100"/>
        <w:rPr>
          <w:rFonts w:hint="eastAsia"/>
        </w:rPr>
      </w:pPr>
      <w:r>
        <w:rPr>
          <w:rFonts w:hint="eastAsia"/>
        </w:rPr>
        <w:t>第４条　市は、前条に定める基本理念（以下「基本理念」という。）にのっとり、手話言語の普及及び障害の特性に応じた多様な意思疎通手段の利用の促進に関する施策を推進するものとする。</w:t>
      </w:r>
    </w:p>
    <w:p>
      <w:pPr>
        <w:pStyle w:val="0"/>
        <w:overflowPunct w:val="0"/>
        <w:autoSpaceDE w:val="0"/>
        <w:autoSpaceDN w:val="0"/>
        <w:rPr>
          <w:rFonts w:hint="default"/>
        </w:rPr>
      </w:pPr>
      <w:r>
        <w:rPr>
          <w:rFonts w:hint="eastAsia"/>
        </w:rPr>
        <w:t>　（市民の役割）</w:t>
      </w:r>
    </w:p>
    <w:p>
      <w:pPr>
        <w:pStyle w:val="0"/>
        <w:overflowPunct w:val="0"/>
        <w:autoSpaceDE w:val="0"/>
        <w:autoSpaceDN w:val="0"/>
        <w:ind w:left="243" w:hanging="243" w:hangingChars="100"/>
        <w:rPr>
          <w:rFonts w:hint="default"/>
        </w:rPr>
      </w:pPr>
      <w:r>
        <w:rPr>
          <w:rFonts w:hint="eastAsia"/>
        </w:rPr>
        <w:t>第５条　市民は、基本理念に対する理解を深め、市が推進する施策に協力するよう努めるものとする。</w:t>
      </w:r>
    </w:p>
    <w:p>
      <w:pPr>
        <w:pStyle w:val="0"/>
        <w:overflowPunct w:val="0"/>
        <w:autoSpaceDE w:val="0"/>
        <w:autoSpaceDN w:val="0"/>
        <w:rPr>
          <w:rFonts w:hint="default"/>
        </w:rPr>
      </w:pPr>
      <w:r>
        <w:rPr>
          <w:rFonts w:hint="eastAsia"/>
        </w:rPr>
        <w:t>　（事業者の役割）</w:t>
      </w:r>
    </w:p>
    <w:p>
      <w:pPr>
        <w:pStyle w:val="0"/>
        <w:overflowPunct w:val="0"/>
        <w:autoSpaceDE w:val="0"/>
        <w:autoSpaceDN w:val="0"/>
        <w:ind w:left="243" w:hanging="243" w:hangingChars="100"/>
        <w:rPr>
          <w:rFonts w:hint="default"/>
        </w:rPr>
      </w:pPr>
      <w:r>
        <w:rPr>
          <w:rFonts w:hint="eastAsia"/>
        </w:rPr>
        <w:t>第６条　事業者は、基本理念に対する理解を深め、市が推進する施策に協力するよう努めるものとする。</w:t>
      </w:r>
    </w:p>
    <w:p>
      <w:pPr>
        <w:pStyle w:val="0"/>
        <w:overflowPunct w:val="0"/>
        <w:autoSpaceDE w:val="0"/>
        <w:autoSpaceDN w:val="0"/>
        <w:ind w:left="243" w:hanging="243" w:hangingChars="100"/>
        <w:rPr>
          <w:rFonts w:hint="default"/>
        </w:rPr>
      </w:pPr>
      <w:r>
        <w:rPr>
          <w:rFonts w:hint="eastAsia"/>
        </w:rPr>
        <w:t>２　事業者は、事業活動を行うに当たり、障害者が障害の特性に応じた多様な意思疎通手段を利用するための合理的な配慮を行うものとする。</w:t>
      </w:r>
    </w:p>
    <w:p>
      <w:pPr>
        <w:pStyle w:val="0"/>
        <w:overflowPunct w:val="0"/>
        <w:autoSpaceDE w:val="0"/>
        <w:autoSpaceDN w:val="0"/>
        <w:rPr>
          <w:rFonts w:hint="eastAsia"/>
        </w:rPr>
      </w:pPr>
      <w:r>
        <w:rPr>
          <w:rFonts w:hint="eastAsia"/>
        </w:rPr>
        <w:t>　（施策の推進等）</w:t>
      </w:r>
    </w:p>
    <w:p>
      <w:pPr>
        <w:pStyle w:val="0"/>
        <w:overflowPunct w:val="0"/>
        <w:autoSpaceDE w:val="0"/>
        <w:autoSpaceDN w:val="0"/>
        <w:ind w:left="243" w:hanging="243" w:hangingChars="100"/>
        <w:rPr>
          <w:rFonts w:hint="eastAsia"/>
        </w:rPr>
      </w:pPr>
      <w:r>
        <w:rPr>
          <w:rFonts w:hint="eastAsia"/>
        </w:rPr>
        <w:t>第７条　市は、手話言語の普及及び障害の特性に応じた多様な意思疎通手段の利用を促進するため、次に掲げる施策を総合的に推進するものとする。</w:t>
      </w:r>
    </w:p>
    <w:p>
      <w:pPr>
        <w:pStyle w:val="0"/>
        <w:overflowPunct w:val="0"/>
        <w:autoSpaceDE w:val="0"/>
        <w:autoSpaceDN w:val="0"/>
        <w:rPr>
          <w:rFonts w:hint="default"/>
          <w:highlight w:val="none"/>
        </w:rPr>
      </w:pPr>
      <w:r>
        <w:rPr>
          <w:rFonts w:hint="eastAsia"/>
          <w:highlight w:val="none"/>
        </w:rPr>
        <w:t>　⑴　手話が言語であることの普及に関する施策</w:t>
      </w:r>
    </w:p>
    <w:p>
      <w:pPr>
        <w:pStyle w:val="0"/>
        <w:overflowPunct w:val="0"/>
        <w:autoSpaceDE w:val="0"/>
        <w:autoSpaceDN w:val="0"/>
        <w:ind w:leftChars="0" w:hanging="486" w:hangingChars="200"/>
        <w:rPr>
          <w:rFonts w:hint="default"/>
          <w:highlight w:val="none"/>
        </w:rPr>
      </w:pPr>
      <w:r>
        <w:rPr>
          <w:rFonts w:hint="eastAsia"/>
          <w:highlight w:val="none"/>
        </w:rPr>
        <w:t>　⑵　</w:t>
      </w:r>
      <w:r>
        <w:rPr>
          <w:rFonts w:hint="eastAsia" w:ascii="ＭＳ 明朝" w:hAnsi="ＭＳ 明朝" w:eastAsia="ＭＳ 明朝"/>
        </w:rPr>
        <w:t>障害の特性に応じた多様な意思疎通手段に対する理解の促進に関する施策</w:t>
      </w:r>
    </w:p>
    <w:p>
      <w:pPr>
        <w:pStyle w:val="0"/>
        <w:overflowPunct w:val="0"/>
        <w:autoSpaceDE w:val="0"/>
        <w:autoSpaceDN w:val="0"/>
        <w:ind w:leftChars="0" w:hanging="486" w:hangingChars="200"/>
        <w:rPr>
          <w:rFonts w:hint="default"/>
          <w:highlight w:val="yellow"/>
        </w:rPr>
      </w:pPr>
      <w:r>
        <w:rPr>
          <w:rFonts w:hint="eastAsia"/>
          <w:highlight w:val="none"/>
        </w:rPr>
        <w:t>　⑶　</w:t>
      </w:r>
      <w:r>
        <w:rPr>
          <w:rFonts w:hint="eastAsia" w:ascii="ＭＳ 明朝" w:hAnsi="ＭＳ 明朝" w:eastAsia="ＭＳ 明朝"/>
        </w:rPr>
        <w:t>障害の特性に応じた多様な意思疎通手段を利用しやすい環境の整備に関する施策</w:t>
      </w:r>
    </w:p>
    <w:p>
      <w:pPr>
        <w:pStyle w:val="0"/>
        <w:overflowPunct w:val="0"/>
        <w:autoSpaceDE w:val="0"/>
        <w:autoSpaceDN w:val="0"/>
        <w:rPr>
          <w:rFonts w:hint="default"/>
          <w:highlight w:val="yellow"/>
        </w:rPr>
      </w:pPr>
      <w:r>
        <w:rPr>
          <w:rFonts w:hint="eastAsia"/>
          <w:highlight w:val="none"/>
        </w:rPr>
        <w:t>　⑷　その他市長が必要と認める施策</w:t>
      </w:r>
    </w:p>
    <w:p>
      <w:pPr>
        <w:pStyle w:val="0"/>
        <w:overflowPunct w:val="0"/>
        <w:autoSpaceDE w:val="0"/>
        <w:autoSpaceDN w:val="0"/>
        <w:ind w:left="243" w:hanging="243" w:hangingChars="100"/>
        <w:rPr>
          <w:rFonts w:hint="default"/>
        </w:rPr>
      </w:pPr>
      <w:r>
        <w:rPr>
          <w:rFonts w:hint="eastAsia"/>
          <w:highlight w:val="none"/>
        </w:rPr>
        <w:t>２　市は、</w:t>
      </w:r>
      <w:r>
        <w:rPr>
          <w:rFonts w:hint="eastAsia" w:ascii="ＭＳ 明朝" w:hAnsi="ＭＳ 明朝" w:eastAsia="ＭＳ 明朝"/>
          <w:highlight w:val="none"/>
        </w:rPr>
        <w:t>災害その他非常の事態</w:t>
      </w:r>
      <w:r>
        <w:rPr>
          <w:rFonts w:hint="eastAsia"/>
          <w:highlight w:val="none"/>
        </w:rPr>
        <w:t>において、障害者に対し、情報の取得及び利用並びに意思</w:t>
      </w:r>
      <w:r>
        <w:rPr>
          <w:rFonts w:hint="eastAsia"/>
        </w:rPr>
        <w:t>疎通の支援に必要な措置を講ずるよう努めるものとする。</w:t>
      </w:r>
    </w:p>
    <w:p>
      <w:pPr>
        <w:pStyle w:val="0"/>
        <w:overflowPunct w:val="0"/>
        <w:autoSpaceDE w:val="0"/>
        <w:autoSpaceDN w:val="0"/>
        <w:ind w:left="243" w:hanging="243" w:hangingChars="100"/>
        <w:rPr>
          <w:rFonts w:hint="default"/>
        </w:rPr>
      </w:pPr>
      <w:r>
        <w:rPr>
          <w:rFonts w:hint="eastAsia"/>
        </w:rPr>
        <w:t>　（意見の聴取）</w:t>
      </w:r>
    </w:p>
    <w:p>
      <w:pPr>
        <w:pStyle w:val="0"/>
        <w:overflowPunct w:val="0"/>
        <w:autoSpaceDE w:val="0"/>
        <w:autoSpaceDN w:val="0"/>
        <w:ind w:left="243" w:hanging="243" w:hangingChars="100"/>
        <w:rPr>
          <w:rFonts w:hint="default"/>
          <w:b w:val="1"/>
        </w:rPr>
      </w:pPr>
      <w:r>
        <w:rPr>
          <w:rFonts w:hint="eastAsia"/>
        </w:rPr>
        <w:t>第８条　市は、前条第１項に掲げる施策を推進し、及び同条第２項に規定する措置を講ずるため、必要があると認めるときは、障害者その他の関係者の意見を聴くものとする。</w:t>
      </w:r>
    </w:p>
    <w:p>
      <w:pPr>
        <w:pStyle w:val="0"/>
        <w:overflowPunct w:val="0"/>
        <w:autoSpaceDE w:val="0"/>
        <w:autoSpaceDN w:val="0"/>
        <w:ind w:left="243" w:hanging="243" w:hangingChars="100"/>
        <w:rPr>
          <w:rFonts w:hint="default"/>
        </w:rPr>
      </w:pPr>
      <w:r>
        <w:rPr>
          <w:rFonts w:hint="eastAsia"/>
        </w:rPr>
        <w:t>　（委任）</w:t>
      </w:r>
    </w:p>
    <w:p>
      <w:pPr>
        <w:pStyle w:val="0"/>
        <w:overflowPunct w:val="0"/>
        <w:autoSpaceDE w:val="0"/>
        <w:autoSpaceDN w:val="0"/>
        <w:ind w:left="243" w:hanging="243" w:hangingChars="100"/>
        <w:rPr>
          <w:rFonts w:hint="default"/>
        </w:rPr>
      </w:pPr>
      <w:r>
        <w:rPr>
          <w:rFonts w:hint="eastAsia"/>
        </w:rPr>
        <w:t>第９条　この条例の施行に関し必要な事項は、市長が定める。</w:t>
      </w:r>
    </w:p>
    <w:p>
      <w:pPr>
        <w:pStyle w:val="0"/>
        <w:overflowPunct w:val="0"/>
        <w:autoSpaceDE w:val="0"/>
        <w:autoSpaceDN w:val="0"/>
        <w:rPr>
          <w:rFonts w:hint="default"/>
        </w:rPr>
      </w:pPr>
      <w:r>
        <w:rPr>
          <w:rFonts w:hint="eastAsia"/>
        </w:rPr>
        <w:t>　　　附　則</w:t>
      </w:r>
    </w:p>
    <w:p>
      <w:pPr>
        <w:pStyle w:val="0"/>
        <w:overflowPunct w:val="0"/>
        <w:autoSpaceDE w:val="0"/>
        <w:autoSpaceDN w:val="0"/>
        <w:ind w:firstLine="243" w:firstLineChars="100"/>
        <w:rPr>
          <w:rFonts w:hint="default"/>
        </w:rPr>
      </w:pPr>
      <w:r>
        <w:rPr>
          <w:rFonts w:hint="eastAsia"/>
        </w:rPr>
        <w:t>この条例は、公布の日から施行する。</w:t>
      </w:r>
    </w:p>
    <w:p>
      <w:pPr>
        <w:pStyle w:val="0"/>
        <w:overflowPunct w:val="0"/>
        <w:autoSpaceDE w:val="0"/>
        <w:autoSpaceDN w:val="0"/>
        <w:ind w:left="243" w:hanging="243" w:hangingChars="100"/>
        <w:rPr>
          <w:rFonts w:hint="default"/>
        </w:rPr>
      </w:pPr>
    </w:p>
    <w:p>
      <w:pPr>
        <w:pStyle w:val="0"/>
        <w:overflowPunct w:val="0"/>
        <w:autoSpaceDE w:val="0"/>
        <w:autoSpaceDN w:val="0"/>
        <w:ind w:left="243" w:hanging="243" w:hangingChars="100"/>
        <w:rPr>
          <w:rFonts w:hint="default"/>
        </w:rPr>
      </w:pPr>
      <w:r>
        <w:rPr>
          <w:rFonts w:hint="eastAsia"/>
        </w:rPr>
        <w:t>　　</w:t>
      </w:r>
    </w:p>
    <w:p>
      <w:pPr>
        <w:pStyle w:val="0"/>
        <w:overflowPunct w:val="0"/>
        <w:autoSpaceDE w:val="0"/>
        <w:autoSpaceDN w:val="0"/>
        <w:ind w:left="243" w:hanging="243" w:hangingChars="100"/>
        <w:rPr>
          <w:rFonts w:hint="default"/>
        </w:rPr>
      </w:pPr>
      <w:r>
        <w:rPr>
          <w:rFonts w:hint="eastAsia"/>
        </w:rPr>
        <w:t>　　　　　　　　　　　　　　　　　　　　　　</w:t>
      </w:r>
    </w:p>
    <w:sectPr>
      <w:headerReference r:id="rId5" w:type="even"/>
      <w:footerReference r:id="rId6" w:type="even"/>
      <w:footerReference r:id="rId7" w:type="default"/>
      <w:pgSz w:w="11906" w:h="16838"/>
      <w:pgMar w:top="1701" w:right="1701" w:bottom="1701" w:left="1701" w:header="851" w:footer="992" w:gutter="0"/>
      <w:cols w:space="720"/>
      <w:textDirection w:val="lrTb"/>
      <w:docGrid w:type="linesAndChars" w:linePitch="433"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rPr>
      <w:tab/>
    </w:r>
    <w:r>
      <w:rPr>
        <w:rFonts w:hint="default" w:ascii="Times New Roman" w:hAnsi="Times New Roman"/>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rPr>
      <w:t>2</w:t>
    </w:r>
    <w:r>
      <w:rPr>
        <w:rFonts w:hint="eastAsia"/>
      </w:rPr>
      <w:fldChar w:fldCharType="end"/>
    </w:r>
    <w:r>
      <w:rPr>
        <w:rFonts w:hint="default" w:ascii="Times New Roman" w:hAnsi="Times New Roman"/>
      </w:rPr>
      <w:t xml:space="preserve"> -</w:t>
    </w:r>
    <w:r>
      <w:rPr>
        <w:rFonts w:hint="default" w:ascii="Times New Roman" w:hAnsi="Times New Roman"/>
      </w:rPr>
      <w:tab/>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left"/>
      <w:rPr>
        <w:rFonts w:hint="default"/>
        <w:sz w:val="22"/>
      </w:rPr>
    </w:pPr>
    <w:r>
      <w:rPr>
        <w:rFonts w:hint="default"/>
        <w:sz w:val="22"/>
      </w:rPr>
      <w:tab/>
    </w:r>
    <w:r>
      <w:rPr>
        <w:rFonts w:hint="default" w:ascii="Times New Roman" w:hAnsi="Times New Roman"/>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rPr>
      <w:t>1</w:t>
    </w:r>
    <w:r>
      <w:rPr>
        <w:rFonts w:hint="eastAsia"/>
      </w:rPr>
      <w:fldChar w:fldCharType="end"/>
    </w:r>
    <w:r>
      <w:rPr>
        <w:rFonts w:hint="default" w:ascii="Times New Roman" w:hAnsi="Times New Roman"/>
      </w:rPr>
      <w:t xml:space="preserve"> -</w:t>
    </w:r>
    <w:r>
      <w:rPr>
        <w:rFonts w:hint="default"/>
        <w:sz w:val="22"/>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oNotTrackMoves/>
  <w:defaultTabStop w:val="840"/>
  <w:evenAndOddHeaders/>
  <w:drawingGridHorizontalSpacing w:val="243"/>
  <w:drawingGridVerticalSpacing w:val="433"/>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小文字＠"/>
    <w:basedOn w:val="0"/>
    <w:next w:val="15"/>
    <w:link w:val="0"/>
    <w:uiPriority w:val="0"/>
  </w:style>
  <w:style w:type="paragraph" w:styleId="16" w:customStyle="1">
    <w:name w:val="スタイル1"/>
    <w:basedOn w:val="0"/>
    <w:next w:val="16"/>
    <w:link w:val="0"/>
    <w:uiPriority w:val="0"/>
    <w:pPr>
      <w:spacing w:line="240" w:lineRule="atLeast"/>
    </w:pPr>
    <w:rPr>
      <w:sz w:val="16"/>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customStyle="1">
    <w:name w:val="第＊条"/>
    <w:basedOn w:val="0"/>
    <w:next w:val="19"/>
    <w:link w:val="0"/>
    <w:uiPriority w:val="0"/>
    <w:pPr>
      <w:wordWrap w:val="0"/>
      <w:overflowPunct w:val="0"/>
      <w:autoSpaceDE w:val="0"/>
      <w:autoSpaceDN w:val="0"/>
      <w:ind w:left="210" w:hanging="210"/>
    </w:pPr>
  </w:style>
  <w:style w:type="paragraph" w:styleId="20" w:customStyle="1">
    <w:name w:val="項"/>
    <w:basedOn w:val="0"/>
    <w:next w:val="20"/>
    <w:link w:val="0"/>
    <w:uiPriority w:val="0"/>
    <w:pPr>
      <w:wordWrap w:val="0"/>
      <w:overflowPunct w:val="0"/>
      <w:autoSpaceDE w:val="0"/>
      <w:autoSpaceDN w:val="0"/>
      <w:ind w:left="210" w:hanging="210"/>
    </w:pPr>
  </w:style>
  <w:style w:type="paragraph" w:styleId="21" w:customStyle="1">
    <w:name w:val="号"/>
    <w:basedOn w:val="20"/>
    <w:next w:val="21"/>
    <w:link w:val="0"/>
    <w:uiPriority w:val="0"/>
    <w:pPr>
      <w:ind w:left="420" w:hanging="420"/>
    </w:pPr>
  </w:style>
  <w:style w:type="paragraph" w:styleId="22">
    <w:name w:val="Note Heading"/>
    <w:basedOn w:val="0"/>
    <w:next w:val="0"/>
    <w:link w:val="0"/>
    <w:uiPriority w:val="0"/>
    <w:pPr>
      <w:jc w:val="center"/>
    </w:pPr>
  </w:style>
  <w:style w:type="paragraph" w:styleId="23">
    <w:name w:val="Body Text Indent"/>
    <w:basedOn w:val="0"/>
    <w:next w:val="23"/>
    <w:link w:val="0"/>
    <w:uiPriority w:val="0"/>
    <w:pPr>
      <w:wordWrap w:val="0"/>
      <w:overflowPunct w:val="0"/>
      <w:autoSpaceDE w:val="0"/>
      <w:autoSpaceDN w:val="0"/>
      <w:ind w:left="218" w:hanging="218" w:hangingChars="95"/>
    </w:pPr>
  </w:style>
  <w:style w:type="paragraph" w:styleId="24">
    <w:name w:val="Body Text Indent 2"/>
    <w:basedOn w:val="0"/>
    <w:next w:val="24"/>
    <w:link w:val="0"/>
    <w:uiPriority w:val="0"/>
    <w:pPr>
      <w:ind w:left="480" w:leftChars="100" w:hanging="240" w:hangingChars="100"/>
    </w:pPr>
  </w:style>
  <w:style w:type="paragraph" w:styleId="25">
    <w:name w:val="Body Text Indent 3"/>
    <w:basedOn w:val="0"/>
    <w:next w:val="25"/>
    <w:link w:val="0"/>
    <w:uiPriority w:val="0"/>
    <w:pPr>
      <w:ind w:left="720" w:leftChars="200" w:hanging="240" w:hangingChars="100"/>
    </w:p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sz w:val="18"/>
    </w:rPr>
  </w:style>
  <w:style w:type="character" w:styleId="28" w:customStyle="1">
    <w:name w:val="cm"/>
    <w:next w:val="28"/>
    <w:link w:val="0"/>
    <w:uiPriority w:val="0"/>
    <w:rPr/>
  </w:style>
  <w:style w:type="character" w:styleId="29">
    <w:name w:val="annotation reference"/>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next w:val="31"/>
    <w:link w:val="30"/>
    <w:uiPriority w:val="0"/>
    <w:rPr>
      <w:rFonts w:ascii="ＭＳ 明朝" w:hAnsi="ＭＳ 明朝"/>
      <w:sz w:val="24"/>
    </w:rPr>
  </w:style>
  <w:style w:type="paragraph" w:styleId="32">
    <w:name w:val="annotation subject"/>
    <w:basedOn w:val="30"/>
    <w:next w:val="30"/>
    <w:link w:val="33"/>
    <w:uiPriority w:val="0"/>
    <w:semiHidden/>
    <w:rPr>
      <w:b w:val="1"/>
    </w:rPr>
  </w:style>
  <w:style w:type="character" w:styleId="33" w:customStyle="1">
    <w:name w:val="コメント内容 (文字)"/>
    <w:next w:val="33"/>
    <w:link w:val="32"/>
    <w:uiPriority w:val="0"/>
    <w:rPr>
      <w:rFonts w:ascii="ＭＳ 明朝" w:hAnsi="ＭＳ 明朝"/>
      <w:b w:val="1"/>
      <w:sz w:val="24"/>
    </w:rPr>
  </w:style>
  <w:style w:type="paragraph" w:styleId="34">
    <w:name w:val="Revision"/>
    <w:next w:val="34"/>
    <w:link w:val="0"/>
    <w:uiPriority w:val="0"/>
    <w:rPr>
      <w:rFonts w:ascii="ＭＳ 明朝" w:hAnsi="ＭＳ 明朝"/>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2362</TotalTime>
  <Pages>3</Pages>
  <Words>0</Words>
  <Characters>2094</Characters>
  <Application>JUST Note</Application>
  <Lines>91</Lines>
  <Paragraphs>40</Paragraphs>
  <CharactersWithSpaces>2169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2024-11-08T07:02:50Z</cp:lastPrinted>
  <dcterms:created xsi:type="dcterms:W3CDTF">2024-10-25T05:11:00Z</dcterms:created>
  <dcterms:modified xsi:type="dcterms:W3CDTF">2025-01-16T02:17:37Z</dcterms:modified>
  <cp:revision>14</cp:revision>
</cp:coreProperties>
</file>